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F5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</w:pPr>
    </w:p>
    <w:tbl>
      <w:tblPr>
        <w:tblStyle w:val="5"/>
        <w:tblW w:w="52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002"/>
        <w:gridCol w:w="11091"/>
        <w:gridCol w:w="951"/>
      </w:tblGrid>
      <w:tr w14:paraId="43D0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1" w:type="pct"/>
            <w:vAlign w:val="center"/>
          </w:tcPr>
          <w:p w14:paraId="0CE2673A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74" w:type="pct"/>
            <w:vAlign w:val="center"/>
          </w:tcPr>
          <w:p w14:paraId="2A3636AB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eastAsia="zh-CN"/>
              </w:rPr>
              <w:t>评分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</w:rPr>
              <w:t>因素</w:t>
            </w:r>
          </w:p>
        </w:tc>
        <w:tc>
          <w:tcPr>
            <w:tcW w:w="3734" w:type="pct"/>
            <w:vAlign w:val="center"/>
          </w:tcPr>
          <w:p w14:paraId="17FE475C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320" w:type="pct"/>
            <w:vAlign w:val="center"/>
          </w:tcPr>
          <w:p w14:paraId="5021C8D3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</w:rPr>
              <w:t>分值</w:t>
            </w:r>
          </w:p>
        </w:tc>
      </w:tr>
      <w:tr w14:paraId="157B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1" w:type="pct"/>
            <w:vAlign w:val="center"/>
          </w:tcPr>
          <w:p w14:paraId="4AD0CF9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74" w:type="pct"/>
            <w:vAlign w:val="center"/>
          </w:tcPr>
          <w:p w14:paraId="69FC2DB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团队人员</w:t>
            </w:r>
          </w:p>
        </w:tc>
        <w:tc>
          <w:tcPr>
            <w:tcW w:w="3734" w:type="pct"/>
            <w:vAlign w:val="center"/>
          </w:tcPr>
          <w:p w14:paraId="5D87ADDF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需提供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不少于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名熟悉政府采购法律法规、具备编制采购文件和组织采购活动等相应能力的专职从业人员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，每提供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1名得2分，最高得4分。</w:t>
            </w:r>
          </w:p>
          <w:p w14:paraId="4789876F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注：需提供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政府采购相关的培训证书或广东省政府采购协会颁发的培训证书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320" w:type="pct"/>
            <w:vAlign w:val="center"/>
          </w:tcPr>
          <w:p w14:paraId="0CFF0A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27EF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14:paraId="457132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74" w:type="pct"/>
            <w:vAlign w:val="center"/>
          </w:tcPr>
          <w:p w14:paraId="3A62DC2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行业影响力</w:t>
            </w:r>
          </w:p>
        </w:tc>
        <w:tc>
          <w:tcPr>
            <w:tcW w:w="3734" w:type="pct"/>
            <w:vAlign w:val="center"/>
          </w:tcPr>
          <w:p w14:paraId="4EEF2A0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2023年至今获得揭阳市财政局季度信用评价“优秀”等级的，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每提供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分，最高得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分。</w:t>
            </w:r>
          </w:p>
          <w:p w14:paraId="79CB2CE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注：需提供相关证明材料，不提供不得分。</w:t>
            </w:r>
          </w:p>
        </w:tc>
        <w:tc>
          <w:tcPr>
            <w:tcW w:w="320" w:type="pct"/>
            <w:vAlign w:val="center"/>
          </w:tcPr>
          <w:p w14:paraId="37D23373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</w:tr>
      <w:tr w14:paraId="72E8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14:paraId="32504F0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74" w:type="pct"/>
            <w:vAlign w:val="center"/>
          </w:tcPr>
          <w:p w14:paraId="57784EE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招标代理业绩</w:t>
            </w:r>
          </w:p>
        </w:tc>
        <w:tc>
          <w:tcPr>
            <w:tcW w:w="3734" w:type="pct"/>
            <w:vAlign w:val="center"/>
          </w:tcPr>
          <w:p w14:paraId="3470ABD7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至今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代理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过</w:t>
            </w: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医院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单位相关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采购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，每提供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份业绩得</w:t>
            </w: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分，</w:t>
            </w: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eastAsia="zh-CN"/>
              </w:rPr>
              <w:t>最高得</w:t>
            </w: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分</w:t>
            </w: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F23C71F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注：需提供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业绩情况一览表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、业绩公告截图（公告链接网址）及委托协议复印件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，无提供不得分。</w:t>
            </w:r>
          </w:p>
        </w:tc>
        <w:tc>
          <w:tcPr>
            <w:tcW w:w="320" w:type="pct"/>
            <w:vAlign w:val="center"/>
          </w:tcPr>
          <w:p w14:paraId="7FC12A8D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</w:tr>
      <w:tr w14:paraId="3011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12090AE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674" w:type="pct"/>
            <w:vAlign w:val="center"/>
          </w:tcPr>
          <w:p w14:paraId="31091203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企业证书</w:t>
            </w:r>
          </w:p>
        </w:tc>
        <w:tc>
          <w:tcPr>
            <w:tcW w:w="3734" w:type="pct"/>
            <w:vAlign w:val="center"/>
          </w:tcPr>
          <w:p w14:paraId="2E027D8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2023年至今获得企业荣誉证书的，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每提供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分，最高得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分。</w:t>
            </w:r>
          </w:p>
          <w:p w14:paraId="1474EAD3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注：需提供相关证明材料，不提供不得分。</w:t>
            </w:r>
          </w:p>
        </w:tc>
        <w:tc>
          <w:tcPr>
            <w:tcW w:w="320" w:type="pct"/>
            <w:vAlign w:val="center"/>
          </w:tcPr>
          <w:p w14:paraId="7022ADB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 w14:paraId="34B2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76BE9A8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674" w:type="pct"/>
            <w:vAlign w:val="center"/>
          </w:tcPr>
          <w:p w14:paraId="39CF7C2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办公环境及开标、评标室环境配备情况</w:t>
            </w:r>
          </w:p>
        </w:tc>
        <w:tc>
          <w:tcPr>
            <w:tcW w:w="3734" w:type="pct"/>
            <w:vAlign w:val="center"/>
          </w:tcPr>
          <w:p w14:paraId="50595B5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办公环境及开标、评标室环境配备完善，充足，环境舒适的得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分；</w:t>
            </w:r>
          </w:p>
          <w:p w14:paraId="6EBB4A15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办公环境及开标、评标室环境配备较完善，充足，环境较好的得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分；</w:t>
            </w:r>
          </w:p>
          <w:p w14:paraId="0ADD850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办公环境及开标、评标室环境配备一般，环境一般的得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E4A6DE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注：需提供环境照片，无提供不得分。</w:t>
            </w:r>
          </w:p>
        </w:tc>
        <w:tc>
          <w:tcPr>
            <w:tcW w:w="320" w:type="pct"/>
            <w:vAlign w:val="center"/>
          </w:tcPr>
          <w:p w14:paraId="39659F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 w14:paraId="0DE9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5B10B57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674" w:type="pct"/>
            <w:vAlign w:val="center"/>
          </w:tcPr>
          <w:p w14:paraId="7016A99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全流程管理‌</w:t>
            </w:r>
          </w:p>
        </w:tc>
        <w:tc>
          <w:tcPr>
            <w:tcW w:w="3734" w:type="pct"/>
            <w:vAlign w:val="center"/>
          </w:tcPr>
          <w:p w14:paraId="1CF10707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全流程管理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综合评定（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‌前期策划、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‌流程执行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、节点监督、合同备案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等情况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）</w:t>
            </w:r>
          </w:p>
          <w:p w14:paraId="61AC32C4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方案内容全面、合理性较高、针对性较强的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，有工作时间进度表及图文说明的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得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分；</w:t>
            </w:r>
          </w:p>
          <w:p w14:paraId="081C2AF7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方案内容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全面、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基本合理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、针对性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一般的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，有工作时间进度表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图文说明的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得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分；</w:t>
            </w:r>
          </w:p>
          <w:p w14:paraId="7EF2EF4A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方案内容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不完整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、合理性一般、针对性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，有工作时间进度表的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得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分；</w:t>
            </w:r>
          </w:p>
          <w:p w14:paraId="2FB5830F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方案内容空洞、不合理、无针对性的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，无工作时间进度表及图文说明的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得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分。</w:t>
            </w:r>
          </w:p>
          <w:p w14:paraId="43BBED18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无提供不得分。</w:t>
            </w:r>
          </w:p>
        </w:tc>
        <w:tc>
          <w:tcPr>
            <w:tcW w:w="320" w:type="pct"/>
            <w:vAlign w:val="center"/>
          </w:tcPr>
          <w:p w14:paraId="7366E680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 w14:paraId="36D1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12181F5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674" w:type="pct"/>
            <w:vAlign w:val="center"/>
          </w:tcPr>
          <w:p w14:paraId="7CABF6F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专业服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务能力</w:t>
            </w:r>
          </w:p>
        </w:tc>
        <w:tc>
          <w:tcPr>
            <w:tcW w:w="3734" w:type="pct"/>
            <w:vAlign w:val="center"/>
          </w:tcPr>
          <w:p w14:paraId="4172D3D8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专业服务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能力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综合评定（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‌文件编制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‌组织开评标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、专家审查、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争议处理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团队成员协作能力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‌等情况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）</w:t>
            </w:r>
          </w:p>
          <w:p w14:paraId="44E947AB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方案内容全面、合理性较高、针对性较强的得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分；</w:t>
            </w:r>
          </w:p>
          <w:p w14:paraId="45CAF2EF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方案内容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全面、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基本合理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、针对性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一般的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得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分；</w:t>
            </w:r>
          </w:p>
          <w:p w14:paraId="1547B28B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方案内容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不完整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、合理性一般、针对性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的得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分；</w:t>
            </w:r>
          </w:p>
          <w:p w14:paraId="2A9BBEFB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方案内容空洞、不合理、无针对性的得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分。</w:t>
            </w:r>
          </w:p>
          <w:p w14:paraId="0679F490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无提供不得分。</w:t>
            </w:r>
          </w:p>
        </w:tc>
        <w:tc>
          <w:tcPr>
            <w:tcW w:w="320" w:type="pct"/>
            <w:vAlign w:val="center"/>
          </w:tcPr>
          <w:p w14:paraId="6A1C237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 w14:paraId="7B52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3587696B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F2F096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‌档案管理</w:t>
            </w:r>
          </w:p>
        </w:tc>
        <w:tc>
          <w:tcPr>
            <w:tcW w:w="3734" w:type="pct"/>
            <w:shd w:val="clear" w:color="auto" w:fill="auto"/>
            <w:vAlign w:val="center"/>
          </w:tcPr>
          <w:p w14:paraId="2038D7CD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‌档案管理综合评定（档案管理制度完备程度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、档案整理、后续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追溯查询服务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等情况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）</w:t>
            </w:r>
          </w:p>
          <w:p w14:paraId="0F2343B9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方案内容全面、合理性较高、针对性较强的得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分；</w:t>
            </w:r>
          </w:p>
          <w:p w14:paraId="341107DD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方案内容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全面、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基本合理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、针对性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一般的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得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分；</w:t>
            </w:r>
          </w:p>
          <w:p w14:paraId="1EC6CEAB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方案内容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不完整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、合理性一般、针对性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的得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分；</w:t>
            </w:r>
          </w:p>
          <w:p w14:paraId="3B39942A">
            <w:pPr>
              <w:pStyle w:val="3"/>
              <w:shd w:val="clear" w:color="auto" w:fill="FFFFFF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方案内容空洞、不合理、无针对性的得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分。</w:t>
            </w:r>
          </w:p>
          <w:p w14:paraId="4B3F0975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无提供不得分。</w:t>
            </w:r>
          </w:p>
        </w:tc>
        <w:tc>
          <w:tcPr>
            <w:tcW w:w="320" w:type="pct"/>
            <w:vAlign w:val="center"/>
          </w:tcPr>
          <w:p w14:paraId="4AE803EF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 w14:paraId="5617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79" w:type="pct"/>
            <w:gridSpan w:val="3"/>
            <w:vAlign w:val="center"/>
          </w:tcPr>
          <w:p w14:paraId="0FEF814D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320" w:type="pct"/>
            <w:vAlign w:val="center"/>
          </w:tcPr>
          <w:p w14:paraId="3D52D08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</w:tr>
    </w:tbl>
    <w:p w14:paraId="336F1218">
      <w:pPr>
        <w:pStyle w:val="2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ZTFlOGFmOGVjYTc0ZmEwMjBhZGUyYTRkMzg5YTIifQ=="/>
  </w:docVars>
  <w:rsids>
    <w:rsidRoot w:val="458147D3"/>
    <w:rsid w:val="013637D1"/>
    <w:rsid w:val="01422176"/>
    <w:rsid w:val="01780754"/>
    <w:rsid w:val="02501738"/>
    <w:rsid w:val="0385459C"/>
    <w:rsid w:val="06C453DB"/>
    <w:rsid w:val="06D13A05"/>
    <w:rsid w:val="0D532C44"/>
    <w:rsid w:val="11E34385"/>
    <w:rsid w:val="14C03686"/>
    <w:rsid w:val="18E36B7A"/>
    <w:rsid w:val="19DC3241"/>
    <w:rsid w:val="19F71E87"/>
    <w:rsid w:val="1AE62F86"/>
    <w:rsid w:val="1C702396"/>
    <w:rsid w:val="1E546BED"/>
    <w:rsid w:val="1E806335"/>
    <w:rsid w:val="1FBC219E"/>
    <w:rsid w:val="21C5554D"/>
    <w:rsid w:val="22537D41"/>
    <w:rsid w:val="22B365D8"/>
    <w:rsid w:val="29D26ADC"/>
    <w:rsid w:val="2C73502A"/>
    <w:rsid w:val="30107B27"/>
    <w:rsid w:val="3086149B"/>
    <w:rsid w:val="323D1A1A"/>
    <w:rsid w:val="33DE0FDB"/>
    <w:rsid w:val="34E366B8"/>
    <w:rsid w:val="39AB3D17"/>
    <w:rsid w:val="3ADD0E15"/>
    <w:rsid w:val="3B8B7064"/>
    <w:rsid w:val="41041EEE"/>
    <w:rsid w:val="42262021"/>
    <w:rsid w:val="42D617B7"/>
    <w:rsid w:val="435D639D"/>
    <w:rsid w:val="458147D3"/>
    <w:rsid w:val="493F20C4"/>
    <w:rsid w:val="4A9106FD"/>
    <w:rsid w:val="4CDB2104"/>
    <w:rsid w:val="4D930C30"/>
    <w:rsid w:val="4EF3713A"/>
    <w:rsid w:val="55533C29"/>
    <w:rsid w:val="55D43A12"/>
    <w:rsid w:val="560079AE"/>
    <w:rsid w:val="5E1611EE"/>
    <w:rsid w:val="5E6837F3"/>
    <w:rsid w:val="60A45F85"/>
    <w:rsid w:val="68DA2EA0"/>
    <w:rsid w:val="7084648B"/>
    <w:rsid w:val="72086C48"/>
    <w:rsid w:val="73637E23"/>
    <w:rsid w:val="75792336"/>
    <w:rsid w:val="7C0C5CFB"/>
    <w:rsid w:val="7E7A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</w:style>
  <w:style w:type="paragraph" w:styleId="3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964</Characters>
  <Lines>0</Lines>
  <Paragraphs>0</Paragraphs>
  <TotalTime>1</TotalTime>
  <ScaleCrop>false</ScaleCrop>
  <LinksUpToDate>false</LinksUpToDate>
  <CharactersWithSpaces>964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2024-03-06T01:23:00Z</dcterms:created>
  <dc:creator>Administrator</dc:creator>
  <cp:lastModifiedBy>a</cp:lastModifiedBy>
  <cp:lastPrinted>2025-03-19T07:25:00Z</cp:lastPrinted>
  <dcterms:modified xsi:type="dcterms:W3CDTF">2026-02-09T07:08:57Z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9A87C3A662ED4008B367D528B52ECBF6_13</vt:lpwstr>
  </property>
  <property fmtid="{D5CDD505-2E9C-101B-9397-08002B2CF9AE}" pid="4" name="KSOTemplateDocerSaveRecord">
    <vt:lpwstr>eyJoZGlkIjoiMzc3NDFmYTM0MGMyY2U0ZjYzMWFmMTRlYzc4YjQ2MmEiLCJ1c2VySWQiOiIyNjY3NjMwMDIifQ==</vt:lpwstr>
  </property>
</Properties>
</file>